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5A" w:rsidRDefault="00513B5A" w:rsidP="00513B5A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对外经济贸易大学档案材料部门立卷规范</w:t>
      </w:r>
    </w:p>
    <w:p w:rsidR="00513B5A" w:rsidRDefault="00513B5A" w:rsidP="00513B5A">
      <w:pPr>
        <w:adjustRightInd w:val="0"/>
        <w:rPr>
          <w:szCs w:val="21"/>
        </w:rPr>
      </w:pPr>
    </w:p>
    <w:p w:rsidR="00513B5A" w:rsidRDefault="00513B5A" w:rsidP="00513B5A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一、基本原则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proofErr w:type="gramStart"/>
      <w:r>
        <w:rPr>
          <w:rFonts w:hint="eastAsia"/>
          <w:szCs w:val="21"/>
        </w:rPr>
        <w:t>教育部令第</w:t>
      </w:r>
      <w:proofErr w:type="gramEnd"/>
      <w:r>
        <w:rPr>
          <w:szCs w:val="21"/>
        </w:rPr>
        <w:t xml:space="preserve"> 27 </w:t>
      </w:r>
      <w:r>
        <w:rPr>
          <w:rFonts w:hint="eastAsia"/>
          <w:szCs w:val="21"/>
        </w:rPr>
        <w:t>号《高等学校档案管理办法》第十六条规定：“高等学校实行档案材料形成单位、课题组立卷的归档制度”。具体来说就是“高校各部门负责档案工作的人员应当按照归档要求，组织本部门的教学、科研和管理等人员及时整理档案和立卷。立卷人应当按照纸质文件材料和电子文件材料的自然形成规律，对文件材料系统整理组卷，编制页号或者件号，制作卷内目录，交本部门负责档案工作的人员检查合格后向高校档案机构移交”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外经贸学档案字</w:t>
      </w:r>
      <w:r>
        <w:rPr>
          <w:szCs w:val="21"/>
        </w:rPr>
        <w:t>[2009]251</w:t>
      </w:r>
      <w:r>
        <w:rPr>
          <w:rFonts w:hint="eastAsia"/>
          <w:szCs w:val="21"/>
        </w:rPr>
        <w:t>号发布实施的《对外经济贸易大学档案管理办法》中规定：学校实行档案形成部门立卷归档制度。各部门专（兼）职档案员按照归档要求，及时收集、整理、组卷、编制件号、统计页数、填写卷内目录，上传电子文件，检查合格后向学校档案馆移交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rPr>
          <w:szCs w:val="21"/>
        </w:rPr>
      </w:pPr>
    </w:p>
    <w:p w:rsidR="00513B5A" w:rsidRDefault="00513B5A" w:rsidP="00513B5A">
      <w:pPr>
        <w:adjustRightInd w:val="0"/>
        <w:snapToGrid w:val="0"/>
        <w:spacing w:line="360" w:lineRule="auto"/>
        <w:outlineLvl w:val="0"/>
        <w:rPr>
          <w:szCs w:val="21"/>
        </w:rPr>
      </w:pPr>
      <w:r>
        <w:rPr>
          <w:rFonts w:hint="eastAsia"/>
          <w:szCs w:val="21"/>
        </w:rPr>
        <w:t>二、归档范围及保管期限、密级判定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（一）归档范围：学校在从事招生、教学、科研、管理等活动直接形成的对学生、学校和社会有保存价值的各种文字、图表、声像等不同形式和载体的历史记录。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（二）文件材料的保存价值、保管期限及密级的判定一般遵循下列原则：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ascii="宋体" w:hAnsi="宋体" w:cs="宋体" w:hint="eastAsia"/>
          <w:szCs w:val="21"/>
        </w:rPr>
        <w:t>凡反映学校主要职能活动和基本历史面貌，对学校、国家建设、历史研究有长远利用价值的，列为永久保管</w:t>
      </w:r>
      <w:r>
        <w:rPr>
          <w:rFonts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ascii="宋体" w:hAnsi="宋体" w:cs="宋体" w:hint="eastAsia"/>
          <w:szCs w:val="21"/>
        </w:rPr>
        <w:t>凡反映学校一般工作活动，在长期内对学校和社会有查考利用价值的，列为长期保管。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ascii="宋体" w:hAnsi="宋体" w:cs="宋体" w:hint="eastAsia"/>
          <w:szCs w:val="21"/>
        </w:rPr>
        <w:t>凡在短期内对学校工作有查考价值的，列为短期保管。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凡是上级领导机关所发的文件，按照原文件所定的密级执行；凡属本校形成的文件材料的密级，按照国家、省和我校的有关规定执行。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outlineLvl w:val="0"/>
        <w:rPr>
          <w:szCs w:val="21"/>
        </w:rPr>
      </w:pPr>
    </w:p>
    <w:p w:rsidR="00513B5A" w:rsidRDefault="00513B5A" w:rsidP="00513B5A">
      <w:pPr>
        <w:adjustRightInd w:val="0"/>
        <w:snapToGrid w:val="0"/>
        <w:spacing w:line="360" w:lineRule="auto"/>
        <w:outlineLvl w:val="0"/>
        <w:rPr>
          <w:szCs w:val="21"/>
        </w:rPr>
      </w:pPr>
      <w:r>
        <w:rPr>
          <w:rFonts w:hint="eastAsia"/>
          <w:szCs w:val="21"/>
        </w:rPr>
        <w:t>三、档案实体立卷流程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在文件材料收集齐全的基础上，一般应按下列步骤进行立卷。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（一）</w:t>
      </w:r>
      <w:proofErr w:type="gramStart"/>
      <w:r>
        <w:rPr>
          <w:rFonts w:hint="eastAsia"/>
          <w:szCs w:val="21"/>
        </w:rPr>
        <w:t>组卷原则</w:t>
      </w:r>
      <w:proofErr w:type="gramEnd"/>
      <w:r>
        <w:rPr>
          <w:rFonts w:hint="eastAsia"/>
          <w:szCs w:val="21"/>
        </w:rPr>
        <w:t>：按年度、问题立卷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分年度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一般文件归入文件形成年度；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跨年度的请示与批复，归入批复年度；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跨年度的规划、计划，一般可归入内容针对的第一个年度；跨年度的总结、报告，归入文件内容针对的最后一个年度；法规性文件归入公布或批准的年度。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rPr>
          <w:szCs w:val="21"/>
        </w:rPr>
      </w:pPr>
      <w:r>
        <w:rPr>
          <w:rFonts w:ascii="宋体" w:hAnsi="宋体" w:cs="宋体" w:hint="eastAsia"/>
          <w:szCs w:val="21"/>
        </w:rPr>
        <w:t></w:t>
      </w:r>
      <w:r w:rsidR="000B70E3">
        <w:rPr>
          <w:rFonts w:ascii="宋体" w:hAnsi="宋体" w:cs="宋体" w:hint="eastAsia"/>
          <w:szCs w:val="21"/>
        </w:rPr>
        <w:t xml:space="preserve"> </w:t>
      </w:r>
      <w:r>
        <w:rPr>
          <w:szCs w:val="21"/>
        </w:rPr>
        <w:t xml:space="preserve"> 2.</w:t>
      </w:r>
      <w:r>
        <w:rPr>
          <w:rFonts w:hint="eastAsia"/>
          <w:szCs w:val="21"/>
        </w:rPr>
        <w:t>分问题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将文件材料按其内容所反映的问题分开。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会议文件，按会议届次组合，可一会一卷、数卷，或数会一卷；人民来信材料，可按信件的作者，信件处理形式或信件所反映的问题组合；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统计、报表、名册等文件，按照名称组合；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学校管理和业务活动形成的业务文件材料，一般按单一问题组合：工作计划、总结等文件，一般可按责任者或名称组合；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简报按名称或期号组合；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分期限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将文件材料按规定的不同保管期限分开。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outlineLvl w:val="0"/>
        <w:rPr>
          <w:szCs w:val="21"/>
        </w:rPr>
      </w:pPr>
      <w:r>
        <w:rPr>
          <w:rFonts w:hint="eastAsia"/>
          <w:szCs w:val="21"/>
        </w:rPr>
        <w:t>（二）卷内文件排序的原则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管理性内容的文件材料，按问题、时间或重要程度排列，要注意密不可分的材料排列顺序：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批复在前，请示在后；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proofErr w:type="gramStart"/>
      <w:r>
        <w:rPr>
          <w:rFonts w:hint="eastAsia"/>
          <w:szCs w:val="21"/>
        </w:rPr>
        <w:t>正件在前</w:t>
      </w:r>
      <w:proofErr w:type="gramEnd"/>
      <w:r>
        <w:rPr>
          <w:rFonts w:hint="eastAsia"/>
          <w:szCs w:val="21"/>
        </w:rPr>
        <w:t>，附件在后；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印件在前，定稿在后；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定稿在前，历次重要讨论稿在后；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转发件在前，被转发件在后；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结论性材料在前，依据性材料在后。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专题性、成套性档案（含教学、科研、产品生产与科技开发、基建、设备、出版等档案）按阶段、结构、部件等分别组卷，排列顺序为：立项材料、成果材料在前，原始材料在后。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准确判断文件材料的保存价值与保管期限及密级，不同保管期限，不同密级的档案，应分别组卷。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卷内文件排列，一般</w:t>
      </w:r>
      <w:proofErr w:type="gramStart"/>
      <w:r>
        <w:rPr>
          <w:rFonts w:hint="eastAsia"/>
          <w:szCs w:val="21"/>
        </w:rPr>
        <w:t>应文字</w:t>
      </w:r>
      <w:proofErr w:type="gramEnd"/>
      <w:r>
        <w:rPr>
          <w:rFonts w:hint="eastAsia"/>
          <w:szCs w:val="21"/>
        </w:rPr>
        <w:t>材料在前，图样在后。图样按目录或图号排列，配套的特殊载体的文字材料按有关规定整理。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 xml:space="preserve">5. </w:t>
      </w:r>
      <w:r>
        <w:rPr>
          <w:rFonts w:hint="eastAsia"/>
          <w:szCs w:val="21"/>
        </w:rPr>
        <w:t>其它文件材料依其形成规律或特点，保持文件材料之间的密切联系进行系统排列。如：本专科生成绩或毕业论文按学号升序排列。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outlineLvl w:val="0"/>
        <w:rPr>
          <w:szCs w:val="21"/>
        </w:rPr>
      </w:pPr>
      <w:r>
        <w:rPr>
          <w:rFonts w:hint="eastAsia"/>
          <w:szCs w:val="21"/>
        </w:rPr>
        <w:t>（三）检查案卷文件材料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检查案卷文件材料的成分，审查文件材料是否收集齐全完整；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检查案卷文件材料的联系，依照案卷类目纠正案卷之间文件</w:t>
      </w:r>
      <w:proofErr w:type="gramStart"/>
      <w:r>
        <w:rPr>
          <w:rFonts w:hint="eastAsia"/>
          <w:szCs w:val="21"/>
        </w:rPr>
        <w:t>归卷不统一</w:t>
      </w:r>
      <w:proofErr w:type="gramEnd"/>
      <w:r>
        <w:rPr>
          <w:rFonts w:hint="eastAsia"/>
          <w:szCs w:val="21"/>
        </w:rPr>
        <w:t>、相互混淆重复或拆散联系的现象；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检查案卷文件材料的保存价值，查看各案卷中文件保存价值是否有差异，各部分之间是否大体一致；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检查案卷文件材料的数量，一般不超过</w:t>
      </w:r>
      <w:r>
        <w:rPr>
          <w:szCs w:val="21"/>
        </w:rPr>
        <w:t>200</w:t>
      </w:r>
      <w:r>
        <w:rPr>
          <w:rFonts w:hint="eastAsia"/>
          <w:szCs w:val="21"/>
        </w:rPr>
        <w:t>页，对同一问题文件数量多的，可适当分卷，问题单一、数量较少的可</w:t>
      </w:r>
      <w:proofErr w:type="gramStart"/>
      <w:r>
        <w:rPr>
          <w:rFonts w:hint="eastAsia"/>
          <w:szCs w:val="21"/>
        </w:rPr>
        <w:t>组薄卷</w:t>
      </w:r>
      <w:proofErr w:type="gramEnd"/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lastRenderedPageBreak/>
        <w:t>5.</w:t>
      </w:r>
      <w:r>
        <w:rPr>
          <w:rFonts w:hint="eastAsia"/>
          <w:szCs w:val="21"/>
        </w:rPr>
        <w:t>检查案卷文件材料用笔是否符合归档要求，凡用笔不符合归档要求的文件材料，必须予以纠正。使用铅笔、圆珠笔、红色或纯兰墨水书写的文件材料，禁止归档。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（四）文件整理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对归档文件进行必要修整。去掉卷内文件上的金属物，如：钉书针、回形针等，以防年久锈蚀文件。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卷内文件规格大小应一致、齐整。留出装订线（装订线在左边），对未留装订线的文件，须进行贴边。对装订线以外有字迹的或破损的文件材料，及与文件材料不可分割的照片、小字条等，要进行加边、修补和裱糊；对较大的表格，要进行折叠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（五）编页号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卷内文件材料无论单面或双面，只要有书写文字，均应编写页号，空白面不编号。页号的位置在每面材料非装订线一侧的下脚（右下角），使用铅笔编页号。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0B70E3">
      <w:pPr>
        <w:adjustRightInd w:val="0"/>
        <w:snapToGrid w:val="0"/>
        <w:spacing w:line="360" w:lineRule="auto"/>
        <w:ind w:firstLineChars="150" w:firstLine="315"/>
        <w:outlineLvl w:val="0"/>
        <w:rPr>
          <w:szCs w:val="21"/>
        </w:rPr>
      </w:pPr>
      <w:r>
        <w:rPr>
          <w:rFonts w:hint="eastAsia"/>
          <w:szCs w:val="21"/>
        </w:rPr>
        <w:t>（六）填写卷内备考表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本卷情况说明：填写卷内文件缺损、修补、补充等情况，卷内文件件数、页数、起止时间用铅笔填写，待档案馆确认。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立卷人：由立卷责任者签名。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审核人：由对案卷质量进行审查的单位负责人签字。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立卷时间：由立卷人按实际立卷时间填写。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0B70E3">
      <w:pPr>
        <w:adjustRightInd w:val="0"/>
        <w:snapToGrid w:val="0"/>
        <w:spacing w:line="360" w:lineRule="auto"/>
        <w:ind w:firstLineChars="150" w:firstLine="315"/>
        <w:outlineLvl w:val="0"/>
        <w:rPr>
          <w:szCs w:val="21"/>
        </w:rPr>
      </w:pPr>
      <w:r>
        <w:rPr>
          <w:rFonts w:hint="eastAsia"/>
          <w:szCs w:val="21"/>
        </w:rPr>
        <w:t>（七）拟写案卷标题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案卷题名即案卷标题，是对案卷内全部文件的总概括。一般由立卷人自拟。案卷题名要简明、确切地反映出卷内文件的主要内容，一般包括时间、责任者、内容和文件种类。文字应力求简练、明确，字数不超过</w:t>
      </w:r>
      <w:r>
        <w:rPr>
          <w:szCs w:val="21"/>
        </w:rPr>
        <w:t>50</w:t>
      </w:r>
      <w:r>
        <w:rPr>
          <w:rFonts w:hint="eastAsia"/>
          <w:szCs w:val="21"/>
        </w:rPr>
        <w:t>字，要求书写工整，字迹清楚。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除会议文件外，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得用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“×××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文件材料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”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除一般函件外，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得用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“×××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来往文书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”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除了诉讼案件材料外，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得用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“×××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案件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”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</w:t>
      </w:r>
      <w:r>
        <w:rPr>
          <w:szCs w:val="21"/>
        </w:rPr>
        <w:t xml:space="preserve"> </w:t>
      </w:r>
    </w:p>
    <w:p w:rsidR="00513B5A" w:rsidRDefault="00513B5A" w:rsidP="000B70E3">
      <w:pPr>
        <w:adjustRightInd w:val="0"/>
        <w:snapToGrid w:val="0"/>
        <w:spacing w:line="360" w:lineRule="auto"/>
        <w:ind w:firstLineChars="150" w:firstLine="315"/>
        <w:outlineLvl w:val="0"/>
        <w:rPr>
          <w:szCs w:val="21"/>
        </w:rPr>
      </w:pPr>
      <w:r>
        <w:rPr>
          <w:rFonts w:hint="eastAsia"/>
          <w:szCs w:val="21"/>
        </w:rPr>
        <w:t>（八）其他要求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备考表应使用碳素墨水、蓝黑墨水或毛笔书写。</w:t>
      </w:r>
      <w:r>
        <w:rPr>
          <w:szCs w:val="21"/>
        </w:rPr>
        <w:t xml:space="preserve"> </w:t>
      </w:r>
    </w:p>
    <w:p w:rsidR="00513B5A" w:rsidRDefault="00513B5A" w:rsidP="00513B5A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归档</w:t>
      </w:r>
      <w:bookmarkStart w:id="0" w:name="_GoBack"/>
      <w:bookmarkEnd w:id="0"/>
      <w:r>
        <w:rPr>
          <w:rFonts w:hint="eastAsia"/>
          <w:szCs w:val="21"/>
        </w:rPr>
        <w:t>文件材料应是文件材料的原件，复印件原则上禁止归档；电子文件的归档要求按照国家档案局发布的《电子公文归档管理暂行办法》以及《电子文件归档与管理规范》</w:t>
      </w:r>
      <w:r>
        <w:rPr>
          <w:szCs w:val="21"/>
        </w:rPr>
        <w:t xml:space="preserve">(GB </w:t>
      </w:r>
      <w:r>
        <w:rPr>
          <w:rFonts w:hint="eastAsia"/>
          <w:szCs w:val="21"/>
        </w:rPr>
        <w:t>／</w:t>
      </w:r>
      <w:r>
        <w:rPr>
          <w:szCs w:val="21"/>
        </w:rPr>
        <w:t xml:space="preserve">T18894-2002) </w:t>
      </w:r>
      <w:r>
        <w:rPr>
          <w:rFonts w:hint="eastAsia"/>
          <w:szCs w:val="21"/>
        </w:rPr>
        <w:t>执行。</w:t>
      </w:r>
    </w:p>
    <w:p w:rsidR="00513B5A" w:rsidRDefault="00513B5A" w:rsidP="00513B5A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sz w:val="21"/>
          <w:szCs w:val="21"/>
        </w:rPr>
      </w:pPr>
    </w:p>
    <w:p w:rsidR="00513B5A" w:rsidRDefault="00513B5A" w:rsidP="00513B5A"/>
    <w:p w:rsidR="00513B5A" w:rsidRDefault="00513B5A" w:rsidP="00513B5A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 xml:space="preserve">                               </w:t>
      </w:r>
      <w:r>
        <w:rPr>
          <w:rFonts w:hint="eastAsia"/>
          <w:sz w:val="21"/>
          <w:szCs w:val="21"/>
        </w:rPr>
        <w:t>对外经济贸易大学档案馆</w:t>
      </w:r>
    </w:p>
    <w:p w:rsidR="00513B5A" w:rsidRDefault="00513B5A" w:rsidP="00513B5A">
      <w:pPr>
        <w:pStyle w:val="3"/>
        <w:keepNext w:val="0"/>
        <w:keepLines w:val="0"/>
        <w:adjustRightInd w:val="0"/>
        <w:snapToGrid w:val="0"/>
        <w:spacing w:before="0" w:after="0"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2012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月</w:t>
      </w:r>
    </w:p>
    <w:p w:rsidR="00A71547" w:rsidRDefault="00A71547"/>
    <w:sectPr w:rsidR="00A71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79" w:rsidRDefault="005D7379" w:rsidP="000B70E3">
      <w:r>
        <w:separator/>
      </w:r>
    </w:p>
  </w:endnote>
  <w:endnote w:type="continuationSeparator" w:id="0">
    <w:p w:rsidR="005D7379" w:rsidRDefault="005D7379" w:rsidP="000B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79" w:rsidRDefault="005D7379" w:rsidP="000B70E3">
      <w:r>
        <w:separator/>
      </w:r>
    </w:p>
  </w:footnote>
  <w:footnote w:type="continuationSeparator" w:id="0">
    <w:p w:rsidR="005D7379" w:rsidRDefault="005D7379" w:rsidP="000B7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5A"/>
    <w:rsid w:val="000B70E3"/>
    <w:rsid w:val="00154022"/>
    <w:rsid w:val="00513B5A"/>
    <w:rsid w:val="005D7379"/>
    <w:rsid w:val="00A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45CD"/>
  <w15:docId w15:val="{25362143-A19E-4925-9D9F-854DCCE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3B5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513B5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B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0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0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侯英杰</dc:creator>
  <cp:lastModifiedBy>潇 刘</cp:lastModifiedBy>
  <cp:revision>4</cp:revision>
  <dcterms:created xsi:type="dcterms:W3CDTF">2017-04-07T02:46:00Z</dcterms:created>
  <dcterms:modified xsi:type="dcterms:W3CDTF">2019-03-12T01:45:00Z</dcterms:modified>
</cp:coreProperties>
</file>