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lang w:eastAsia="zh-Hans"/>
        </w:rPr>
      </w:pPr>
      <w:bookmarkStart w:id="0" w:name="_Hlk128568093"/>
      <w:r>
        <w:rPr>
          <w:rFonts w:hint="eastAsia"/>
          <w:lang w:eastAsia="zh-Hans"/>
        </w:rPr>
        <w:t>附件</w:t>
      </w:r>
      <w:r>
        <w:rPr>
          <w:lang w:eastAsia="zh-Hans"/>
        </w:rPr>
        <w:t>3</w:t>
      </w:r>
    </w:p>
    <w:bookmarkEnd w:id="0"/>
    <w:p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rFonts w:eastAsia="方正小标宋简体"/>
          <w:b/>
          <w:bCs/>
          <w:color w:val="000000"/>
          <w:lang w:eastAsia="zh-Hans"/>
        </w:rPr>
      </w:pPr>
      <w:r>
        <w:rPr>
          <w:rFonts w:ascii="方正小标宋简体" w:eastAsia="方正小标宋简体"/>
          <w:sz w:val="32"/>
          <w:szCs w:val="32"/>
        </w:rPr>
        <w:t>《北京</w:t>
      </w:r>
      <w:r>
        <w:rPr>
          <w:rFonts w:hint="eastAsia" w:ascii="方正小标宋简体" w:eastAsia="方正小标宋简体"/>
          <w:sz w:val="32"/>
          <w:szCs w:val="32"/>
        </w:rPr>
        <w:t>教育年鉴</w:t>
      </w:r>
      <w:r>
        <w:rPr>
          <w:rFonts w:ascii="方正小标宋简体" w:eastAsia="方正小标宋简体"/>
          <w:sz w:val="32"/>
          <w:szCs w:val="32"/>
        </w:rPr>
        <w:t>（</w:t>
      </w:r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023</w:t>
      </w:r>
      <w:r>
        <w:rPr>
          <w:rFonts w:hint="eastAsia" w:ascii="方正小标宋简体" w:eastAsia="方正小标宋简体"/>
          <w:sz w:val="32"/>
          <w:szCs w:val="32"/>
        </w:rPr>
        <w:t>卷</w:t>
      </w:r>
      <w:r>
        <w:rPr>
          <w:rFonts w:ascii="方正小标宋简体" w:eastAsia="方正小标宋简体"/>
          <w:sz w:val="32"/>
          <w:szCs w:val="32"/>
        </w:rPr>
        <w:t>）》</w:t>
      </w:r>
      <w:r>
        <w:rPr>
          <w:rFonts w:hint="eastAsia" w:ascii="方正小标宋简体" w:eastAsia="方正小标宋简体"/>
          <w:sz w:val="32"/>
          <w:szCs w:val="32"/>
        </w:rPr>
        <w:t>组稿</w:t>
      </w:r>
      <w:r>
        <w:rPr>
          <w:rFonts w:hint="eastAsia" w:ascii="方正小标宋简体" w:eastAsia="方正小标宋简体"/>
          <w:sz w:val="32"/>
          <w:szCs w:val="32"/>
          <w:lang w:eastAsia="zh-Hans"/>
        </w:rPr>
        <w:t>模板</w:t>
      </w:r>
    </w:p>
    <w:p>
      <w:pPr>
        <w:widowControl/>
        <w:spacing w:line="375" w:lineRule="atLeast"/>
        <w:jc w:val="left"/>
        <w:rPr>
          <w:rFonts w:ascii="宋体" w:hAnsi="宋体" w:cs="宋体"/>
          <w:kern w:val="0"/>
          <w:sz w:val="24"/>
        </w:rPr>
      </w:pPr>
    </w:p>
    <w:p>
      <w:pPr>
        <w:widowControl/>
        <w:spacing w:line="375" w:lineRule="atLeast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一、学校概述模板</w:t>
      </w:r>
    </w:p>
    <w:p>
      <w:pPr>
        <w:widowControl/>
        <w:spacing w:line="375" w:lineRule="atLeast"/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2022年，××××大学设有××个校区，设置××个院（系、部）。开设××个本科专业，覆盖××个学科门类；具有一级学科××个；一级学科博士点××个、二级学科博士点××个、专业学位博士点××个；一级学科硕士点××个、二级学科硕士点××个、硕士专业学位授权类别××个；博士后科研流动站××个，其中博士后研究人员出站××人、进站××人、在站××人。博士生导师××人，硕士生导师××人，博士、硕士导师××人；中科院院士××人、工程院院士××人。“双一流”建设学科××个，国家级一流本科专业建设点××个，北京市级一流本科专业建设点××个，北京高校重点建设一流专业××个，北京高校高精尖学科××个。学校由××举办（学校举办者），为××院校（办学性质）。拥有教室××间，其中网络多媒体教室××间。数字终端××台，其中学生终端××台、教师终端××台。数字资源量中电子图书××册、电子期刊××册、学位论文××册、音视频××小时。国家重点实验室××个、国家研究中心××个、国家工程研究中心××个、（国家工程技术研究中心××个、国家工程实验室××个）国家技术创新中心××个、国家临床医学研究中心××个、国家科技资源共享服务平台××个（国家科技基础条件平台）、国家野外科学观测研究站××个。北京实验室××个、北京高精尖创新中心××个，北京重点实验室××个。高考北京地区提档线不限选考专业组     分、物理必考专业组    分、化学必考专业组      分、物理化学必考专业组    分、物理/化学专业组   分、思想政治必考专业组    分、历史／地理专业组    分、物理／化学／生物专业组     分、历史必考专业组    分（各学校根据学校实际专业组情况填写）。网址：                        。</w:t>
      </w:r>
    </w:p>
    <w:p>
      <w:pPr>
        <w:widowControl/>
        <w:spacing w:line="375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highlight w:val="yellow"/>
        </w:rPr>
        <w:t>202</w:t>
      </w:r>
      <w:r>
        <w:rPr>
          <w:rFonts w:ascii="宋体" w:hAnsi="宋体" w:cs="宋体"/>
          <w:kern w:val="0"/>
          <w:sz w:val="24"/>
          <w:highlight w:val="yellow"/>
        </w:rPr>
        <w:t>2</w:t>
      </w:r>
      <w:r>
        <w:rPr>
          <w:rFonts w:hint="eastAsia" w:ascii="宋体" w:hAnsi="宋体" w:cs="宋体"/>
          <w:kern w:val="0"/>
          <w:sz w:val="24"/>
          <w:highlight w:val="yellow"/>
        </w:rPr>
        <w:t>年，学校年度重点工作。</w:t>
      </w:r>
    </w:p>
    <w:p>
      <w:pPr>
        <w:widowControl/>
        <w:tabs>
          <w:tab w:val="left" w:pos="3300"/>
        </w:tabs>
        <w:spacing w:line="375" w:lineRule="atLeast"/>
        <w:ind w:firstLine="480"/>
        <w:jc w:val="left"/>
        <w:rPr>
          <w:rFonts w:ascii="宋体" w:hAnsi="宋体" w:cs="宋体"/>
          <w:kern w:val="0"/>
          <w:sz w:val="24"/>
          <w:lang w:eastAsia="zh-Hans"/>
        </w:rPr>
      </w:pPr>
      <w:r>
        <w:rPr>
          <w:rFonts w:hint="eastAsia" w:ascii="宋体" w:hAnsi="宋体" w:cs="宋体"/>
          <w:kern w:val="0"/>
          <w:sz w:val="24"/>
        </w:rPr>
        <w:t>……</w:t>
      </w: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spacing w:line="375" w:lineRule="atLeast"/>
        <w:jc w:val="left"/>
        <w:rPr>
          <w:rFonts w:ascii="宋体" w:hAnsi="宋体" w:cs="宋体"/>
          <w:bCs/>
          <w:kern w:val="0"/>
          <w:sz w:val="24"/>
        </w:rPr>
      </w:pPr>
    </w:p>
    <w:p>
      <w:pPr>
        <w:widowControl/>
        <w:spacing w:line="375" w:lineRule="atLeast"/>
        <w:ind w:firstLine="422" w:firstLineChars="200"/>
        <w:jc w:val="left"/>
        <w:rPr>
          <w:rFonts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注：统计指标解释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1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学校举办者是指学校（机构）的上级主管部门或为设置学校（机构）提供必要经费和基本办学条件者。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ascii="宋体" w:hAnsi="宋体" w:cs="宋体"/>
          <w:bCs/>
          <w:kern w:val="0"/>
          <w:szCs w:val="21"/>
          <w:lang w:val="en"/>
        </w:rPr>
        <w:t>2.</w:t>
      </w:r>
      <w:r>
        <w:rPr>
          <w:rFonts w:hint="eastAsia" w:ascii="宋体" w:hAnsi="宋体" w:cs="宋体"/>
          <w:bCs/>
          <w:kern w:val="0"/>
          <w:szCs w:val="21"/>
          <w:lang w:val="en"/>
        </w:rPr>
        <w:t>办学性质包括综合大学、理工院校、农业院校、林业院校、医药院校、师范院校、语文院校、财经院校、政法院校、体育院校、艺术院校、民族院校。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ascii="宋体" w:hAnsi="宋体" w:cs="宋体"/>
          <w:bCs/>
          <w:kern w:val="0"/>
          <w:szCs w:val="21"/>
          <w:lang w:val="en"/>
        </w:rPr>
        <w:t>3.</w:t>
      </w:r>
      <w:r>
        <w:rPr>
          <w:rFonts w:hint="eastAsia" w:ascii="宋体" w:hAnsi="宋体" w:cs="宋体"/>
          <w:bCs/>
          <w:kern w:val="0"/>
          <w:szCs w:val="21"/>
          <w:lang w:val="en"/>
        </w:rPr>
        <w:t>数字终端数是指计入学校固定资产的、能接入有线或无线网络的各种数字计算设备数量，主要包括个人台式、笔记本电脑、平板电脑（</w:t>
      </w:r>
      <w:r>
        <w:rPr>
          <w:rFonts w:hint="eastAsia" w:ascii="宋体" w:hAnsi="宋体" w:cs="宋体"/>
          <w:bCs/>
          <w:kern w:val="0"/>
          <w:szCs w:val="21"/>
        </w:rPr>
        <w:t>Pad</w:t>
      </w:r>
      <w:r>
        <w:rPr>
          <w:rFonts w:hint="eastAsia" w:ascii="宋体" w:hAnsi="宋体" w:cs="宋体"/>
          <w:bCs/>
          <w:kern w:val="0"/>
          <w:szCs w:val="21"/>
          <w:lang w:val="en"/>
        </w:rPr>
        <w:t>）和各种新媒体技术设备的台数。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4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教师终端数是指为专任教师配备的教学用台式机、笔记本电脑、平板电脑数和新媒体技术设备。</w:t>
      </w:r>
    </w:p>
    <w:p>
      <w:pPr>
        <w:widowControl/>
        <w:spacing w:line="375" w:lineRule="atLeast"/>
        <w:ind w:firstLine="420" w:firstLineChars="200"/>
        <w:jc w:val="left"/>
        <w:rPr>
          <w:rFonts w:ascii="宋体" w:hAnsi="宋体" w:cs="宋体"/>
          <w:bCs/>
          <w:kern w:val="0"/>
          <w:szCs w:val="21"/>
          <w:lang w:val="en"/>
        </w:rPr>
      </w:pPr>
      <w:r>
        <w:rPr>
          <w:rFonts w:hint="eastAsia" w:ascii="宋体" w:hAnsi="宋体" w:cs="宋体"/>
          <w:bCs/>
          <w:kern w:val="0"/>
          <w:szCs w:val="21"/>
          <w:lang w:val="en"/>
        </w:rPr>
        <w:t>5</w:t>
      </w:r>
      <w:r>
        <w:rPr>
          <w:rFonts w:ascii="宋体" w:hAnsi="宋体" w:cs="宋体"/>
          <w:bCs/>
          <w:kern w:val="0"/>
          <w:szCs w:val="21"/>
          <w:lang w:val="en"/>
        </w:rPr>
        <w:t>.</w:t>
      </w:r>
      <w:r>
        <w:rPr>
          <w:rFonts w:hint="eastAsia" w:ascii="宋体" w:hAnsi="宋体" w:cs="宋体"/>
          <w:bCs/>
          <w:kern w:val="0"/>
          <w:szCs w:val="21"/>
          <w:lang w:val="en"/>
        </w:rPr>
        <w:t>学生终端数是指为学生配备的学习用台式机、笔记本电脑、平板电脑台数和新媒体技术设备。</w:t>
      </w:r>
    </w:p>
    <w:p>
      <w:pPr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widowControl/>
        <w:spacing w:line="375" w:lineRule="atLeast"/>
        <w:jc w:val="left"/>
        <w:rPr>
          <w:rFonts w:ascii="宋体" w:hAnsi="宋体" w:cs="宋体"/>
          <w:kern w:val="0"/>
          <w:sz w:val="24"/>
        </w:rPr>
      </w:pPr>
    </w:p>
    <w:p>
      <w:pPr>
        <w:widowControl/>
        <w:spacing w:line="375" w:lineRule="atLeast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二、学校年度重点工作样例</w:t>
      </w:r>
    </w:p>
    <w:p>
      <w:pPr>
        <w:widowControl/>
        <w:spacing w:line="375" w:lineRule="atLeast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（选自《北京教育年鉴（2</w:t>
      </w:r>
      <w:r>
        <w:rPr>
          <w:rFonts w:ascii="宋体" w:hAnsi="宋体" w:cs="宋体"/>
          <w:kern w:val="0"/>
          <w:sz w:val="24"/>
        </w:rPr>
        <w:t>021</w:t>
      </w:r>
      <w:r>
        <w:rPr>
          <w:rFonts w:hint="eastAsia" w:ascii="宋体" w:hAnsi="宋体" w:cs="宋体"/>
          <w:kern w:val="0"/>
          <w:sz w:val="24"/>
        </w:rPr>
        <w:t>卷）》上报材料，下同）</w:t>
      </w:r>
    </w:p>
    <w:p>
      <w:pPr>
        <w:widowControl/>
        <w:spacing w:line="375" w:lineRule="atLeast"/>
        <w:ind w:firstLine="482" w:firstLineChars="200"/>
        <w:rPr>
          <w:rFonts w:hint="eastAsia" w:ascii="宋体" w:hAnsi="宋体" w:cs="宋体"/>
          <w:b/>
          <w:bCs/>
          <w:kern w:val="0"/>
          <w:sz w:val="24"/>
        </w:rPr>
      </w:pPr>
    </w:p>
    <w:p>
      <w:pPr>
        <w:widowControl/>
        <w:spacing w:line="375" w:lineRule="atLeast"/>
        <w:ind w:firstLine="482" w:firstLineChars="200"/>
        <w:rPr>
          <w:kern w:val="0"/>
          <w:sz w:val="24"/>
          <w:szCs w:val="22"/>
        </w:rPr>
      </w:pPr>
      <w:r>
        <w:rPr>
          <w:rFonts w:hint="eastAsia"/>
          <w:b/>
          <w:bCs/>
          <w:kern w:val="0"/>
          <w:sz w:val="24"/>
        </w:rPr>
        <w:t>样例1</w:t>
      </w:r>
      <w:r>
        <w:rPr>
          <w:rFonts w:hint="eastAsia"/>
          <w:kern w:val="0"/>
          <w:sz w:val="24"/>
        </w:rPr>
        <w:t>.</w:t>
      </w:r>
      <w:r>
        <w:rPr>
          <w:kern w:val="0"/>
          <w:sz w:val="24"/>
        </w:rPr>
        <w:t xml:space="preserve"> </w:t>
      </w:r>
      <w:r>
        <w:rPr>
          <w:kern w:val="0"/>
          <w:sz w:val="24"/>
          <w:szCs w:val="22"/>
        </w:rPr>
        <w:t>2020年，学校</w:t>
      </w:r>
      <w:r>
        <w:rPr>
          <w:rFonts w:hint="eastAsia"/>
          <w:kern w:val="0"/>
          <w:sz w:val="24"/>
          <w:szCs w:val="22"/>
        </w:rPr>
        <w:t>强化“以人为本”的理念，</w:t>
      </w:r>
      <w:r>
        <w:rPr>
          <w:kern w:val="0"/>
          <w:sz w:val="24"/>
          <w:szCs w:val="22"/>
        </w:rPr>
        <w:t>教学类成果认定标准和奖励办法，</w:t>
      </w:r>
      <w:r>
        <w:rPr>
          <w:rFonts w:hint="eastAsia"/>
          <w:kern w:val="0"/>
          <w:sz w:val="24"/>
        </w:rPr>
        <w:t>启动</w:t>
      </w:r>
      <w:r>
        <w:rPr>
          <w:kern w:val="0"/>
          <w:sz w:val="24"/>
        </w:rPr>
        <w:t>“十四五”规划编制启动会</w:t>
      </w:r>
      <w:r>
        <w:rPr>
          <w:rFonts w:hint="eastAsia"/>
          <w:kern w:val="0"/>
          <w:sz w:val="24"/>
        </w:rPr>
        <w:t>和数字经济实验室建设工作，应变新冠肺炎疫情对教学活动的影响，</w:t>
      </w:r>
      <w:r>
        <w:rPr>
          <w:kern w:val="0"/>
          <w:sz w:val="24"/>
          <w:szCs w:val="22"/>
        </w:rPr>
        <w:t>实现多种线上混合式教学模式创新。</w:t>
      </w:r>
    </w:p>
    <w:p>
      <w:pPr>
        <w:widowControl/>
        <w:spacing w:line="375" w:lineRule="atLeast"/>
        <w:ind w:firstLine="482" w:firstLineChars="200"/>
        <w:rPr>
          <w:kern w:val="0"/>
          <w:sz w:val="24"/>
          <w:szCs w:val="22"/>
        </w:rPr>
      </w:pPr>
      <w:r>
        <w:rPr>
          <w:rFonts w:hint="eastAsia"/>
          <w:b/>
          <w:bCs/>
          <w:kern w:val="0"/>
          <w:sz w:val="24"/>
        </w:rPr>
        <w:t>样例</w:t>
      </w:r>
      <w:r>
        <w:rPr>
          <w:b/>
          <w:bCs/>
          <w:kern w:val="0"/>
          <w:sz w:val="24"/>
        </w:rPr>
        <w:t xml:space="preserve">2. </w:t>
      </w:r>
      <w:r>
        <w:rPr>
          <w:rFonts w:hint="eastAsia"/>
          <w:kern w:val="0"/>
          <w:sz w:val="24"/>
          <w:szCs w:val="22"/>
        </w:rPr>
        <w:t>科研工作。</w:t>
      </w:r>
      <w:r>
        <w:rPr>
          <w:kern w:val="0"/>
          <w:sz w:val="24"/>
          <w:szCs w:val="22"/>
        </w:rPr>
        <w:t>2020年，学校产出各类科研成果1499项，发表论文1220篇</w:t>
      </w:r>
      <w:r>
        <w:rPr>
          <w:rFonts w:hint="eastAsia"/>
          <w:kern w:val="0"/>
          <w:sz w:val="24"/>
          <w:szCs w:val="22"/>
        </w:rPr>
        <w:t>。</w:t>
      </w:r>
      <w:r>
        <w:rPr>
          <w:kern w:val="0"/>
          <w:sz w:val="24"/>
          <w:szCs w:val="22"/>
        </w:rPr>
        <w:t>获各类省部级及以上</w:t>
      </w:r>
      <w:r>
        <w:rPr>
          <w:rFonts w:hint="eastAsia"/>
          <w:kern w:val="0"/>
          <w:sz w:val="24"/>
          <w:szCs w:val="22"/>
        </w:rPr>
        <w:t>奖项</w:t>
      </w:r>
      <w:r>
        <w:rPr>
          <w:kern w:val="0"/>
          <w:sz w:val="24"/>
          <w:szCs w:val="22"/>
        </w:rPr>
        <w:t>37</w:t>
      </w:r>
      <w:r>
        <w:rPr>
          <w:rFonts w:hint="eastAsia"/>
          <w:kern w:val="0"/>
          <w:sz w:val="24"/>
          <w:szCs w:val="22"/>
        </w:rPr>
        <w:t>个</w:t>
      </w:r>
      <w:r>
        <w:rPr>
          <w:kern w:val="0"/>
          <w:sz w:val="24"/>
          <w:szCs w:val="22"/>
        </w:rPr>
        <w:t>。获纵向课题102项</w:t>
      </w:r>
      <w:r>
        <w:rPr>
          <w:rFonts w:hint="eastAsia"/>
          <w:kern w:val="0"/>
          <w:sz w:val="24"/>
          <w:szCs w:val="22"/>
        </w:rPr>
        <w:t>（</w:t>
      </w:r>
      <w:r>
        <w:rPr>
          <w:kern w:val="0"/>
          <w:sz w:val="24"/>
          <w:szCs w:val="22"/>
        </w:rPr>
        <w:t>国家级课题58</w:t>
      </w:r>
      <w:r>
        <w:rPr>
          <w:rFonts w:hint="eastAsia"/>
          <w:kern w:val="0"/>
          <w:sz w:val="24"/>
          <w:szCs w:val="22"/>
        </w:rPr>
        <w:t>个</w:t>
      </w:r>
      <w:r>
        <w:rPr>
          <w:kern w:val="0"/>
          <w:sz w:val="24"/>
          <w:szCs w:val="22"/>
        </w:rPr>
        <w:t>、省部级课题44</w:t>
      </w:r>
      <w:r>
        <w:rPr>
          <w:rFonts w:hint="eastAsia"/>
          <w:kern w:val="0"/>
          <w:sz w:val="24"/>
          <w:szCs w:val="22"/>
        </w:rPr>
        <w:t>个）</w:t>
      </w:r>
      <w:r>
        <w:rPr>
          <w:kern w:val="0"/>
          <w:sz w:val="24"/>
          <w:szCs w:val="22"/>
        </w:rPr>
        <w:t>，</w:t>
      </w:r>
      <w:r>
        <w:rPr>
          <w:rFonts w:hint="eastAsia"/>
          <w:kern w:val="0"/>
          <w:sz w:val="24"/>
          <w:szCs w:val="22"/>
        </w:rPr>
        <w:t>包括</w:t>
      </w:r>
      <w:r>
        <w:rPr>
          <w:kern w:val="0"/>
          <w:sz w:val="24"/>
          <w:szCs w:val="22"/>
        </w:rPr>
        <w:t>国家级重大项目8</w:t>
      </w:r>
      <w:r>
        <w:rPr>
          <w:rFonts w:hint="eastAsia"/>
          <w:kern w:val="0"/>
          <w:sz w:val="24"/>
          <w:szCs w:val="22"/>
        </w:rPr>
        <w:t>个</w:t>
      </w:r>
      <w:r>
        <w:rPr>
          <w:kern w:val="0"/>
          <w:sz w:val="24"/>
          <w:szCs w:val="22"/>
        </w:rPr>
        <w:t>、省部级重大项目9</w:t>
      </w:r>
      <w:r>
        <w:rPr>
          <w:rFonts w:hint="eastAsia"/>
          <w:kern w:val="0"/>
          <w:sz w:val="24"/>
          <w:szCs w:val="22"/>
        </w:rPr>
        <w:t>个</w:t>
      </w:r>
      <w:r>
        <w:rPr>
          <w:kern w:val="0"/>
          <w:sz w:val="24"/>
          <w:szCs w:val="22"/>
        </w:rPr>
        <w:t>；横向课题立项170项余</w:t>
      </w:r>
      <w:r>
        <w:rPr>
          <w:rFonts w:hint="eastAsia"/>
          <w:kern w:val="0"/>
          <w:sz w:val="24"/>
          <w:szCs w:val="22"/>
        </w:rPr>
        <w:t>个</w:t>
      </w:r>
      <w:r>
        <w:rPr>
          <w:kern w:val="0"/>
          <w:sz w:val="24"/>
          <w:szCs w:val="22"/>
        </w:rPr>
        <w:t>，经费突破4000万元。报送疫情防控决策咨询和政策研究报告170篇，获教育部、北京市等上级单位采纳研究成果84篇。</w:t>
      </w: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ind w:firstLine="480" w:firstLineChars="200"/>
        <w:rPr>
          <w:kern w:val="0"/>
          <w:sz w:val="24"/>
        </w:rPr>
      </w:pPr>
    </w:p>
    <w:p>
      <w:pPr>
        <w:widowControl/>
        <w:ind w:firstLine="480" w:firstLineChars="200"/>
        <w:rPr>
          <w:kern w:val="0"/>
          <w:sz w:val="24"/>
        </w:rPr>
      </w:pPr>
    </w:p>
    <w:p>
      <w:pPr>
        <w:widowControl/>
        <w:spacing w:line="375" w:lineRule="atLeast"/>
        <w:ind w:right="960"/>
        <w:jc w:val="center"/>
        <w:rPr>
          <w:rFonts w:ascii="黑体" w:hAnsi="黑体" w:eastAsia="黑体" w:cs="宋体"/>
          <w:b/>
          <w:bCs/>
          <w:kern w:val="0"/>
          <w:sz w:val="28"/>
          <w:szCs w:val="28"/>
          <w:lang w:eastAsia="zh-Hans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28"/>
          <w:lang w:eastAsia="zh-Hans"/>
        </w:rPr>
        <w:t>三、单一性条目样例</w:t>
      </w:r>
    </w:p>
    <w:p>
      <w:pPr>
        <w:spacing w:line="360" w:lineRule="auto"/>
        <w:rPr>
          <w:kern w:val="0"/>
          <w:sz w:val="24"/>
          <w:szCs w:val="22"/>
        </w:rPr>
      </w:pPr>
      <w:r>
        <w:rPr>
          <w:b/>
          <w:bCs/>
          <w:sz w:val="24"/>
          <w:szCs w:val="22"/>
        </w:rPr>
        <w:t>【与</w:t>
      </w:r>
      <w:r>
        <w:rPr>
          <w:rFonts w:hint="eastAsia"/>
          <w:b/>
          <w:bCs/>
          <w:sz w:val="24"/>
          <w:szCs w:val="22"/>
        </w:rPr>
        <w:t>两家企业签约合作</w:t>
      </w:r>
      <w:r>
        <w:rPr>
          <w:b/>
          <w:bCs/>
          <w:szCs w:val="22"/>
        </w:rPr>
        <w:t>】</w:t>
      </w:r>
      <w:r>
        <w:rPr>
          <w:kern w:val="0"/>
          <w:sz w:val="24"/>
          <w:szCs w:val="22"/>
        </w:rPr>
        <w:t>11月25日</w:t>
      </w:r>
      <w:r>
        <w:rPr>
          <w:rFonts w:hint="eastAsia"/>
          <w:kern w:val="0"/>
          <w:sz w:val="24"/>
          <w:szCs w:val="22"/>
        </w:rPr>
        <w:t>和</w:t>
      </w:r>
      <w:r>
        <w:rPr>
          <w:kern w:val="0"/>
          <w:sz w:val="24"/>
          <w:szCs w:val="22"/>
        </w:rPr>
        <w:t>12月25日，</w:t>
      </w:r>
      <w:r>
        <w:rPr>
          <w:rFonts w:hint="eastAsia"/>
          <w:kern w:val="0"/>
          <w:sz w:val="24"/>
          <w:szCs w:val="22"/>
        </w:rPr>
        <w:t>对外经济贸易大学与</w:t>
      </w:r>
      <w:r>
        <w:rPr>
          <w:kern w:val="0"/>
          <w:sz w:val="24"/>
          <w:szCs w:val="22"/>
        </w:rPr>
        <w:t>中国再保险（集团）股份有限公司</w:t>
      </w:r>
      <w:r>
        <w:rPr>
          <w:rFonts w:hint="eastAsia"/>
          <w:kern w:val="0"/>
          <w:sz w:val="24"/>
          <w:szCs w:val="22"/>
        </w:rPr>
        <w:t>、</w:t>
      </w:r>
      <w:r>
        <w:rPr>
          <w:kern w:val="0"/>
          <w:sz w:val="24"/>
          <w:szCs w:val="22"/>
        </w:rPr>
        <w:t>上海临港经济发展（集团）有限公司</w:t>
      </w:r>
      <w:r>
        <w:rPr>
          <w:rFonts w:hint="eastAsia"/>
          <w:kern w:val="0"/>
          <w:sz w:val="24"/>
          <w:szCs w:val="22"/>
        </w:rPr>
        <w:t>分别</w:t>
      </w:r>
      <w:r>
        <w:rPr>
          <w:kern w:val="0"/>
          <w:sz w:val="24"/>
          <w:szCs w:val="22"/>
        </w:rPr>
        <w:t>签署战略合作框架协议。</w:t>
      </w:r>
      <w:r>
        <w:rPr>
          <w:rFonts w:hint="eastAsia"/>
          <w:kern w:val="0"/>
          <w:sz w:val="24"/>
          <w:szCs w:val="22"/>
        </w:rPr>
        <w:t>与</w:t>
      </w:r>
      <w:r>
        <w:rPr>
          <w:kern w:val="0"/>
          <w:sz w:val="24"/>
          <w:szCs w:val="22"/>
        </w:rPr>
        <w:t>中国再保险（集团）股份有限公司</w:t>
      </w:r>
      <w:r>
        <w:rPr>
          <w:rFonts w:hint="eastAsia"/>
          <w:kern w:val="0"/>
          <w:sz w:val="24"/>
          <w:szCs w:val="22"/>
        </w:rPr>
        <w:t>协议明确，双方在人才培养、学术研究、智库服务等方面的合作，共同开展“一带一路”风险管理、国别风险管理等重大课题研究，实现产学研融合发展。协议有效期3年。与</w:t>
      </w:r>
      <w:r>
        <w:rPr>
          <w:kern w:val="0"/>
          <w:sz w:val="24"/>
          <w:szCs w:val="22"/>
        </w:rPr>
        <w:t>上海临港经济发展（集团）有限公司</w:t>
      </w:r>
      <w:r>
        <w:rPr>
          <w:rFonts w:hint="eastAsia"/>
          <w:kern w:val="0"/>
          <w:sz w:val="24"/>
          <w:szCs w:val="22"/>
        </w:rPr>
        <w:t>协议明确，</w:t>
      </w:r>
      <w:r>
        <w:rPr>
          <w:kern w:val="0"/>
          <w:sz w:val="24"/>
          <w:szCs w:val="22"/>
        </w:rPr>
        <w:t>双方共建对外经济贸易大学</w:t>
      </w:r>
      <w:r>
        <w:rPr>
          <w:rFonts w:hint="eastAsia"/>
          <w:kern w:val="0"/>
          <w:sz w:val="24"/>
          <w:szCs w:val="22"/>
        </w:rPr>
        <w:t>高水平对外开放与金融创新研究中心，旨在为国家高水平对外开放战略提供智力支持。协议有效期</w:t>
      </w:r>
      <w:r>
        <w:rPr>
          <w:kern w:val="0"/>
          <w:sz w:val="24"/>
          <w:szCs w:val="22"/>
        </w:rPr>
        <w:t>5</w:t>
      </w:r>
      <w:r>
        <w:rPr>
          <w:rFonts w:hint="eastAsia"/>
          <w:kern w:val="0"/>
          <w:sz w:val="24"/>
          <w:szCs w:val="22"/>
        </w:rPr>
        <w:t>年</w:t>
      </w:r>
      <w:r>
        <w:rPr>
          <w:kern w:val="0"/>
          <w:sz w:val="24"/>
          <w:szCs w:val="22"/>
        </w:rPr>
        <w:t>。</w:t>
      </w:r>
    </w:p>
    <w:p>
      <w:pPr>
        <w:spacing w:line="360" w:lineRule="auto"/>
        <w:jc w:val="center"/>
        <w:rPr>
          <w:szCs w:val="22"/>
        </w:rPr>
      </w:pPr>
      <w:r>
        <w:rPr>
          <w:szCs w:val="22"/>
        </w:rPr>
        <w:drawing>
          <wp:inline distT="0" distB="0" distL="114300" distR="114300">
            <wp:extent cx="4089400" cy="223837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75" w:lineRule="atLeast"/>
        <w:jc w:val="center"/>
        <w:rPr>
          <w:rFonts w:eastAsia="楷体"/>
          <w:kern w:val="0"/>
          <w:sz w:val="24"/>
          <w:szCs w:val="22"/>
        </w:rPr>
      </w:pPr>
      <w:r>
        <w:rPr>
          <w:rFonts w:eastAsia="楷体"/>
          <w:kern w:val="0"/>
          <w:sz w:val="24"/>
          <w:szCs w:val="22"/>
        </w:rPr>
        <w:t>11月25日，</w:t>
      </w:r>
      <w:r>
        <w:rPr>
          <w:rFonts w:hint="eastAsia" w:eastAsia="楷体"/>
          <w:kern w:val="0"/>
          <w:sz w:val="24"/>
          <w:szCs w:val="22"/>
        </w:rPr>
        <w:t>对外经济贸易大学</w:t>
      </w:r>
      <w:r>
        <w:rPr>
          <w:rFonts w:eastAsia="楷体"/>
          <w:kern w:val="0"/>
          <w:sz w:val="24"/>
          <w:szCs w:val="22"/>
        </w:rPr>
        <w:t>与中国再保险（集团）股份有限公司签署战略合作框架协议</w:t>
      </w:r>
    </w:p>
    <w:p>
      <w:pPr>
        <w:widowControl/>
        <w:spacing w:line="375" w:lineRule="atLeast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（×××）</w:t>
      </w:r>
    </w:p>
    <w:p>
      <w:pPr>
        <w:widowControl/>
        <w:tabs>
          <w:tab w:val="left" w:pos="1672"/>
        </w:tabs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</w:p>
    <w:p>
      <w:pPr>
        <w:widowControl/>
        <w:tabs>
          <w:tab w:val="left" w:pos="1672"/>
        </w:tabs>
        <w:spacing w:line="360" w:lineRule="auto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其他学校2</w:t>
      </w:r>
      <w:r>
        <w:rPr>
          <w:rFonts w:ascii="宋体" w:hAnsi="宋体" w:cs="宋体"/>
          <w:b/>
          <w:bCs/>
          <w:kern w:val="0"/>
          <w:sz w:val="24"/>
        </w:rPr>
        <w:t>022</w:t>
      </w:r>
      <w:r>
        <w:rPr>
          <w:rFonts w:hint="eastAsia" w:ascii="宋体" w:hAnsi="宋体" w:cs="宋体"/>
          <w:b/>
          <w:bCs/>
          <w:kern w:val="0"/>
          <w:sz w:val="24"/>
        </w:rPr>
        <w:t>年大事要闻相关条目请参考以上条目示例撰写。</w:t>
      </w:r>
    </w:p>
    <w:p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40717E42"/>
    <w:rsid w:val="4071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2023-03-01T09:09:00Z</dcterms:created>
  <dc:creator>姜</dc:creator>
  <cp:lastModifiedBy>姜</cp:lastModifiedBy>
  <dcterms:modified xsi:type="dcterms:W3CDTF">2023-03-01T09:09:44Z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52256779D93F47AD927AF6D9E550E1EC</vt:lpwstr>
  </property>
</Properties>
</file>