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lang w:eastAsia="zh-Hans"/>
        </w:rPr>
      </w:pPr>
      <w:bookmarkStart w:id="0" w:name="_Hlk128568093"/>
      <w:r>
        <w:rPr>
          <w:rFonts w:hint="eastAsia"/>
          <w:lang w:eastAsia="zh-Hans"/>
        </w:rPr>
        <w:t>附件</w:t>
      </w:r>
      <w:r>
        <w:rPr>
          <w:lang w:eastAsia="zh-Hans"/>
        </w:rPr>
        <w:t>3</w:t>
      </w:r>
    </w:p>
    <w:p>
      <w:pPr>
        <w:pStyle w:val="3"/>
        <w:shd w:val="clear" w:color="auto" w:fill="FFFFFF"/>
        <w:spacing w:before="0" w:beforeAutospacing="0" w:after="0" w:afterAutospacing="0" w:line="360" w:lineRule="auto"/>
        <w:jc w:val="center"/>
        <w:rPr>
          <w:rFonts w:hint="eastAsia" w:eastAsia="方正小标宋简体"/>
          <w:lang w:eastAsia="zh-CN"/>
        </w:rPr>
      </w:pPr>
      <w:r>
        <w:rPr>
          <w:rFonts w:ascii="方正小标宋简体" w:eastAsia="方正小标宋简体"/>
          <w:sz w:val="32"/>
          <w:szCs w:val="32"/>
        </w:rPr>
        <w:t>《北京</w:t>
      </w:r>
      <w:r>
        <w:rPr>
          <w:rFonts w:hint="eastAsia" w:ascii="方正小标宋简体" w:eastAsia="方正小标宋简体"/>
          <w:sz w:val="32"/>
          <w:szCs w:val="32"/>
        </w:rPr>
        <w:t>教育年鉴</w:t>
      </w:r>
      <w:r>
        <w:rPr>
          <w:rFonts w:ascii="方正小标宋简体" w:eastAsia="方正小标宋简体"/>
          <w:sz w:val="32"/>
          <w:szCs w:val="32"/>
        </w:rPr>
        <w:t>（</w:t>
      </w:r>
      <w:r>
        <w:rPr>
          <w:rFonts w:hint="eastAsia" w:ascii="方正小标宋简体" w:eastAsia="方正小标宋简体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4</w:t>
      </w:r>
      <w:r>
        <w:rPr>
          <w:rFonts w:hint="eastAsia" w:ascii="方正小标宋简体" w:eastAsia="方正小标宋简体"/>
          <w:sz w:val="32"/>
          <w:szCs w:val="32"/>
        </w:rPr>
        <w:t>卷</w:t>
      </w:r>
      <w:r>
        <w:rPr>
          <w:rFonts w:ascii="方正小标宋简体" w:eastAsia="方正小标宋简体"/>
          <w:sz w:val="32"/>
          <w:szCs w:val="32"/>
        </w:rPr>
        <w:t>）》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撰稿要求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根据学校统一部署，各相关单位需共同配合，做好供稿任务。具体撰稿要求如下：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以习近平新时代中国特色社会主义思想为指导，全面贯彻党的二十大精神，坚持学校领导，编委会负责，年鉴编辑部实施，各部门指定专人（年鉴特约编辑）负责部门资料收集、撰写和稿件报送的组织原则，本着“重事业、重事件、重实践活动”的选题标准，用事实和数据说话，面向教育教学一线师生，全面记述2023年内学校教育事业各方面改革发展轨迹，为领导决策提供依据，为教育规划提供资料，为国内外人士了解、研究学校教育事业发展提供最新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二、撰稿时限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2023年1月1日-12月31日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三、撰稿要求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根据年鉴总体设计要求，各单位需报送文字、图片和视频资料三部分内容。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1.文字材料：包括概述、记事性条目两部分。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①概述：固定条目，主要由基本指标数据+年度重点工作组成，限2000字内（具体示例见附件3）。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②记事性条目：坚持“一事一条”的基本原则，内容以记述年度大事要闻为主，突出“特”“新”“全”的选材标准。条目按照事件发生时间顺序排列。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图片资料：记事性条目需提交随文附图并附文字说明。图片要求为未经后期加工合成的原始版，分辨率在300DPI以上（一般像素不低于1800×1200）格式为JPEG或者TIFF。内容要突出主题，体现工作场景。图片文字说明要求时间、事主、事件等要素齐全，一般不超过20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视频资料：以小视频为主，格式要求不大于4GB，内容与单位全年工作或所报送条目相关，内容生动、主题突出、画质清晰。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 为避免条目出现重复、交叉或矛盾，各单位供稿需由分管年鉴工作的负责人统稿、审定。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 本次征稿组稿任务分解、组稿模板及样例仅适用于《北京教育年鉴》2024卷编撰工作，《对外经济贸易大学年鉴（2024）》征稿工作的开展将另行通知。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四、截稿日期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2024年3月1日（周五）。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电子邮件：uibenianjian@163.com（纸质稿由本单位年鉴工作主管领导签字并加盖部门公章后提交）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联系人：姜老师、王老师（64493362）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办公地点：逸夫科研楼一层105办公室</w:t>
      </w: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lang w:eastAsia="zh-Hans"/>
        </w:rPr>
      </w:pP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lang w:eastAsia="zh-Hans"/>
        </w:rPr>
      </w:pP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lang w:eastAsia="zh-Hans"/>
        </w:rPr>
      </w:pPr>
    </w:p>
    <w:bookmarkEnd w:id="0"/>
    <w:p>
      <w:pPr>
        <w:pStyle w:val="3"/>
        <w:shd w:val="clear" w:color="auto" w:fill="FFFFFF"/>
        <w:spacing w:before="0" w:beforeAutospacing="0" w:after="0" w:afterAutospacing="0" w:line="360" w:lineRule="auto"/>
        <w:jc w:val="center"/>
        <w:rPr>
          <w:rFonts w:eastAsia="方正小标宋简体"/>
          <w:b/>
          <w:bCs/>
          <w:color w:val="000000"/>
          <w:lang w:eastAsia="zh-Hans"/>
        </w:rPr>
      </w:pPr>
      <w:r>
        <w:rPr>
          <w:rFonts w:ascii="方正小标宋简体" w:eastAsia="方正小标宋简体"/>
          <w:sz w:val="32"/>
          <w:szCs w:val="32"/>
        </w:rPr>
        <w:t>《北京</w:t>
      </w:r>
      <w:r>
        <w:rPr>
          <w:rFonts w:hint="eastAsia" w:ascii="方正小标宋简体" w:eastAsia="方正小标宋简体"/>
          <w:sz w:val="32"/>
          <w:szCs w:val="32"/>
        </w:rPr>
        <w:t>教育年鉴</w:t>
      </w:r>
      <w:r>
        <w:rPr>
          <w:rFonts w:ascii="方正小标宋简体" w:eastAsia="方正小标宋简体"/>
          <w:sz w:val="32"/>
          <w:szCs w:val="32"/>
        </w:rPr>
        <w:t>（</w:t>
      </w:r>
      <w:r>
        <w:rPr>
          <w:rFonts w:hint="eastAsia" w:ascii="方正小标宋简体" w:eastAsia="方正小标宋简体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4</w:t>
      </w:r>
      <w:r>
        <w:rPr>
          <w:rFonts w:hint="eastAsia" w:ascii="方正小标宋简体" w:eastAsia="方正小标宋简体"/>
          <w:sz w:val="32"/>
          <w:szCs w:val="32"/>
        </w:rPr>
        <w:t>卷</w:t>
      </w:r>
      <w:r>
        <w:rPr>
          <w:rFonts w:ascii="方正小标宋简体" w:eastAsia="方正小标宋简体"/>
          <w:sz w:val="32"/>
          <w:szCs w:val="32"/>
        </w:rPr>
        <w:t>）》</w:t>
      </w:r>
      <w:r>
        <w:rPr>
          <w:rFonts w:hint="eastAsia" w:ascii="方正小标宋简体" w:eastAsia="方正小标宋简体"/>
          <w:sz w:val="32"/>
          <w:szCs w:val="32"/>
        </w:rPr>
        <w:t>组稿</w:t>
      </w:r>
      <w:r>
        <w:rPr>
          <w:rFonts w:hint="eastAsia" w:ascii="方正小标宋简体" w:eastAsia="方正小标宋简体"/>
          <w:sz w:val="32"/>
          <w:szCs w:val="32"/>
          <w:lang w:eastAsia="zh-Hans"/>
        </w:rPr>
        <w:t>模板</w:t>
      </w:r>
    </w:p>
    <w:p>
      <w:pPr>
        <w:widowControl/>
        <w:spacing w:line="375" w:lineRule="atLeast"/>
        <w:jc w:val="left"/>
        <w:rPr>
          <w:rFonts w:ascii="宋体" w:hAnsi="宋体" w:cs="宋体"/>
          <w:kern w:val="0"/>
          <w:sz w:val="24"/>
        </w:rPr>
      </w:pPr>
    </w:p>
    <w:p>
      <w:pPr>
        <w:widowControl/>
        <w:spacing w:line="375" w:lineRule="atLeast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eastAsia="zh-Hans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eastAsia="zh-Hans"/>
        </w:rPr>
        <w:t>一、学校概述模板</w:t>
      </w:r>
    </w:p>
    <w:p>
      <w:pPr>
        <w:widowControl/>
        <w:spacing w:line="375" w:lineRule="atLeast"/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>202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4"/>
        </w:rPr>
        <w:t>年，××××大学设有××个校区，设置××个院（系、部）。开设××个本科专业，覆盖××个学科门类；具有一级学科××个；一级学科博士点××个、二级学科博士点××个、专业学位博士点××个；一级学科硕士点××个、二级学科硕士点××个、硕士专业学位授权类别××个；博士后科研流动站××个，其中博士后研究人员出站××人、进站××人、在站××人。博士生导师××人，硕士生导师××人，博士、硕士导师××人；中科院院士××人、工程院院士××人。“双一流”建设学科××个，国家级一流本科专业建设点××个，北京市级一流本科专业建设点××个，北京高校重点建设一流专业××个，北京高校高精尖学科××个。学校由××举办（学校举办者），为××院校（办学性质）。拥有教室××间，其中网络多媒体教室××间。数字终端××台，其中学生终端××台、教师终端××台。数字资源量中电子图书××册、电子期刊××册、学位论文××册、音视频××小时。国家重点实验室××个、国家研究中心××个、国家工程研究中心××个、（国家工程技术研究中心××个、国家工程实验室××个）国家技术创新中心××个、国家临床医学研究中心××个、国家科技资源共享服务平台××个（国家科技基础条件平台）、国家野外科学观测研究站××个。北京实验室××个、北京高精尖创新中心××个，北京重点实验室××个。高考北京地区提档线不限选考专业组     分、物理必考专业组    分、化学必考专业组      分、物理化学必考专业组    分、物理/化学专业组   分、思想政治必考专业组    分、历史／地理专业组    分、物理／化学／生物专业组     分、历史必考专业组    分（各学校根据学校实际专业组情况填写）。网址：                        。</w:t>
      </w:r>
    </w:p>
    <w:p>
      <w:pPr>
        <w:widowControl/>
        <w:spacing w:line="375" w:lineRule="atLeast"/>
        <w:ind w:firstLine="480"/>
        <w:jc w:val="left"/>
        <w:rPr>
          <w:rFonts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202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kern w:val="0"/>
          <w:sz w:val="24"/>
          <w:highlight w:val="none"/>
        </w:rPr>
        <w:t>年，学校年度重点工作。</w:t>
      </w:r>
    </w:p>
    <w:p>
      <w:pPr>
        <w:widowControl/>
        <w:tabs>
          <w:tab w:val="left" w:pos="3300"/>
        </w:tabs>
        <w:spacing w:line="375" w:lineRule="atLeast"/>
        <w:ind w:firstLine="480"/>
        <w:jc w:val="left"/>
        <w:rPr>
          <w:rFonts w:ascii="宋体" w:hAnsi="宋体" w:cs="宋体"/>
          <w:kern w:val="0"/>
          <w:sz w:val="24"/>
          <w:lang w:eastAsia="zh-Hans"/>
        </w:rPr>
      </w:pPr>
      <w:r>
        <w:rPr>
          <w:rFonts w:hint="eastAsia" w:ascii="宋体" w:hAnsi="宋体" w:cs="宋体"/>
          <w:kern w:val="0"/>
          <w:sz w:val="24"/>
        </w:rPr>
        <w:t>……</w:t>
      </w:r>
    </w:p>
    <w:p>
      <w:pPr>
        <w:widowControl/>
        <w:spacing w:line="375" w:lineRule="atLeast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（×××）</w:t>
      </w:r>
    </w:p>
    <w:p>
      <w:pPr>
        <w:widowControl/>
        <w:spacing w:line="375" w:lineRule="atLeast"/>
        <w:jc w:val="left"/>
        <w:rPr>
          <w:rFonts w:ascii="宋体" w:hAnsi="宋体" w:cs="宋体"/>
          <w:bCs/>
          <w:kern w:val="0"/>
          <w:sz w:val="24"/>
        </w:rPr>
      </w:pPr>
    </w:p>
    <w:p>
      <w:pPr>
        <w:widowControl/>
        <w:spacing w:line="375" w:lineRule="atLeast"/>
        <w:ind w:firstLine="422" w:firstLineChars="200"/>
        <w:jc w:val="left"/>
        <w:rPr>
          <w:rFonts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注：统计指标解释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hint="eastAsia" w:ascii="宋体" w:hAnsi="宋体" w:cs="宋体"/>
          <w:bCs/>
          <w:kern w:val="0"/>
          <w:szCs w:val="21"/>
          <w:lang w:val="en"/>
        </w:rPr>
        <w:t>1</w:t>
      </w:r>
      <w:r>
        <w:rPr>
          <w:rFonts w:ascii="宋体" w:hAnsi="宋体" w:cs="宋体"/>
          <w:bCs/>
          <w:kern w:val="0"/>
          <w:szCs w:val="21"/>
          <w:lang w:val="en"/>
        </w:rPr>
        <w:t>.</w:t>
      </w:r>
      <w:r>
        <w:rPr>
          <w:rFonts w:hint="eastAsia" w:ascii="宋体" w:hAnsi="宋体" w:cs="宋体"/>
          <w:bCs/>
          <w:kern w:val="0"/>
          <w:szCs w:val="21"/>
          <w:lang w:val="en"/>
        </w:rPr>
        <w:t>学校举办者是指学校（机构）的上级主管部门或为设置学校（机构）提供必要经费和基本办学条件者。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ascii="宋体" w:hAnsi="宋体" w:cs="宋体"/>
          <w:bCs/>
          <w:kern w:val="0"/>
          <w:szCs w:val="21"/>
          <w:lang w:val="en"/>
        </w:rPr>
        <w:t>2.</w:t>
      </w:r>
      <w:r>
        <w:rPr>
          <w:rFonts w:hint="eastAsia" w:ascii="宋体" w:hAnsi="宋体" w:cs="宋体"/>
          <w:bCs/>
          <w:kern w:val="0"/>
          <w:szCs w:val="21"/>
          <w:lang w:val="en"/>
        </w:rPr>
        <w:t>办学性质包括综合大学、理工院校、农业院校、林业院校、医药院校、师范院校、语文院校、财经院校、政法院校、体育院校、艺术院校、民族院校。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ascii="宋体" w:hAnsi="宋体" w:cs="宋体"/>
          <w:bCs/>
          <w:kern w:val="0"/>
          <w:szCs w:val="21"/>
          <w:lang w:val="en"/>
        </w:rPr>
        <w:t>3.</w:t>
      </w:r>
      <w:r>
        <w:rPr>
          <w:rFonts w:hint="eastAsia" w:ascii="宋体" w:hAnsi="宋体" w:cs="宋体"/>
          <w:bCs/>
          <w:kern w:val="0"/>
          <w:szCs w:val="21"/>
          <w:lang w:val="en"/>
        </w:rPr>
        <w:t>数字终端数是指计入学校固定资产的、能接入有线或无线网络的各种数字计算设备数量，主要包括个人台式、笔记本电脑、平板电脑（</w:t>
      </w:r>
      <w:r>
        <w:rPr>
          <w:rFonts w:hint="eastAsia" w:ascii="宋体" w:hAnsi="宋体" w:cs="宋体"/>
          <w:bCs/>
          <w:kern w:val="0"/>
          <w:szCs w:val="21"/>
        </w:rPr>
        <w:t>Pad</w:t>
      </w:r>
      <w:r>
        <w:rPr>
          <w:rFonts w:hint="eastAsia" w:ascii="宋体" w:hAnsi="宋体" w:cs="宋体"/>
          <w:bCs/>
          <w:kern w:val="0"/>
          <w:szCs w:val="21"/>
          <w:lang w:val="en"/>
        </w:rPr>
        <w:t>）和各种新媒体技术设备的台数。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hint="eastAsia" w:ascii="宋体" w:hAnsi="宋体" w:cs="宋体"/>
          <w:bCs/>
          <w:kern w:val="0"/>
          <w:szCs w:val="21"/>
          <w:lang w:val="en"/>
        </w:rPr>
        <w:t>4</w:t>
      </w:r>
      <w:r>
        <w:rPr>
          <w:rFonts w:ascii="宋体" w:hAnsi="宋体" w:cs="宋体"/>
          <w:bCs/>
          <w:kern w:val="0"/>
          <w:szCs w:val="21"/>
          <w:lang w:val="en"/>
        </w:rPr>
        <w:t>.</w:t>
      </w:r>
      <w:r>
        <w:rPr>
          <w:rFonts w:hint="eastAsia" w:ascii="宋体" w:hAnsi="宋体" w:cs="宋体"/>
          <w:bCs/>
          <w:kern w:val="0"/>
          <w:szCs w:val="21"/>
          <w:lang w:val="en"/>
        </w:rPr>
        <w:t>教师终端数是指为专任教师配备的教学用台式机、笔记本电脑、平板电脑数和新媒体技术设备。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hint="eastAsia" w:ascii="宋体" w:hAnsi="宋体" w:cs="宋体"/>
          <w:bCs/>
          <w:kern w:val="0"/>
          <w:szCs w:val="21"/>
          <w:lang w:val="en"/>
        </w:rPr>
        <w:t>5</w:t>
      </w:r>
      <w:r>
        <w:rPr>
          <w:rFonts w:ascii="宋体" w:hAnsi="宋体" w:cs="宋体"/>
          <w:bCs/>
          <w:kern w:val="0"/>
          <w:szCs w:val="21"/>
          <w:lang w:val="en"/>
        </w:rPr>
        <w:t>.</w:t>
      </w:r>
      <w:r>
        <w:rPr>
          <w:rFonts w:hint="eastAsia" w:ascii="宋体" w:hAnsi="宋体" w:cs="宋体"/>
          <w:bCs/>
          <w:kern w:val="0"/>
          <w:szCs w:val="21"/>
          <w:lang w:val="en"/>
        </w:rPr>
        <w:t>学生终端数是指为学生配备的学习用台式机、笔记本电脑、平板电脑台数和新媒体技术设备。</w:t>
      </w: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widowControl/>
        <w:spacing w:line="375" w:lineRule="atLeast"/>
        <w:jc w:val="left"/>
        <w:rPr>
          <w:rFonts w:ascii="宋体" w:hAnsi="宋体" w:cs="宋体"/>
          <w:kern w:val="0"/>
          <w:sz w:val="24"/>
        </w:rPr>
      </w:pPr>
    </w:p>
    <w:p>
      <w:pPr>
        <w:widowControl/>
        <w:spacing w:line="375" w:lineRule="atLeast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eastAsia="zh-Hans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eastAsia="zh-Hans"/>
        </w:rPr>
        <w:t>二、学校年度重点工作样例</w:t>
      </w:r>
    </w:p>
    <w:p>
      <w:pPr>
        <w:widowControl/>
        <w:spacing w:line="375" w:lineRule="atLeast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（选自《北京教育年鉴（2</w:t>
      </w:r>
      <w:r>
        <w:rPr>
          <w:rFonts w:ascii="宋体" w:hAnsi="宋体" w:cs="宋体"/>
          <w:kern w:val="0"/>
          <w:sz w:val="24"/>
        </w:rPr>
        <w:t>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kern w:val="0"/>
          <w:sz w:val="24"/>
        </w:rPr>
        <w:t>卷）》上报材料，下同）</w:t>
      </w:r>
    </w:p>
    <w:p>
      <w:pPr>
        <w:widowControl/>
        <w:spacing w:line="375" w:lineRule="atLeast"/>
        <w:ind w:firstLine="482" w:firstLineChars="200"/>
        <w:rPr>
          <w:rFonts w:hint="eastAsia" w:ascii="宋体" w:hAnsi="宋体" w:cs="宋体"/>
          <w:b/>
          <w:bCs/>
          <w:kern w:val="0"/>
          <w:sz w:val="24"/>
        </w:rPr>
      </w:pPr>
    </w:p>
    <w:p>
      <w:pPr>
        <w:widowControl/>
        <w:spacing w:line="375" w:lineRule="atLeast"/>
        <w:ind w:firstLine="482" w:firstLineChars="200"/>
        <w:rPr>
          <w:kern w:val="0"/>
          <w:sz w:val="24"/>
          <w:szCs w:val="22"/>
        </w:rPr>
      </w:pPr>
      <w:r>
        <w:rPr>
          <w:rFonts w:hint="eastAsia"/>
          <w:b/>
          <w:bCs/>
          <w:kern w:val="0"/>
          <w:sz w:val="24"/>
        </w:rPr>
        <w:t>样例1</w:t>
      </w:r>
      <w:r>
        <w:rPr>
          <w:rFonts w:hint="eastAsia"/>
          <w:kern w:val="0"/>
          <w:sz w:val="24"/>
        </w:rPr>
        <w:t>.</w:t>
      </w:r>
      <w:r>
        <w:rPr>
          <w:kern w:val="0"/>
          <w:sz w:val="24"/>
        </w:rPr>
        <w:t xml:space="preserve"> </w:t>
      </w:r>
      <w:r>
        <w:rPr>
          <w:rFonts w:hint="eastAsia"/>
          <w:kern w:val="0"/>
          <w:sz w:val="24"/>
          <w:szCs w:val="22"/>
        </w:rPr>
        <w:t>2022年，学校坚持和完善党委领导下的校长负责制，坚持稳中求进工作总基调，开展新时代高质量发展思想讨论，推进“十四五”规划实施和新一轮“双一流”建设，各项工作承压奋进，稳健发展。</w:t>
      </w:r>
    </w:p>
    <w:p>
      <w:pPr>
        <w:widowControl/>
        <w:spacing w:line="375" w:lineRule="atLeast"/>
        <w:ind w:firstLine="482" w:firstLineChars="200"/>
        <w:rPr>
          <w:kern w:val="0"/>
          <w:sz w:val="24"/>
          <w:szCs w:val="22"/>
        </w:rPr>
      </w:pPr>
      <w:r>
        <w:rPr>
          <w:rFonts w:hint="eastAsia"/>
          <w:b/>
          <w:bCs/>
          <w:kern w:val="0"/>
          <w:sz w:val="24"/>
        </w:rPr>
        <w:t>样例</w:t>
      </w:r>
      <w:r>
        <w:rPr>
          <w:b/>
          <w:bCs/>
          <w:kern w:val="0"/>
          <w:sz w:val="24"/>
        </w:rPr>
        <w:t xml:space="preserve">2. </w:t>
      </w:r>
      <w:r>
        <w:rPr>
          <w:rFonts w:hint="eastAsia"/>
          <w:kern w:val="0"/>
          <w:sz w:val="24"/>
          <w:szCs w:val="22"/>
        </w:rPr>
        <w:t>科研成果再创新高。获批纵向课题120项，同比增长12%。其中，国家社会科学基金项目38个、国家自然科学基金项目39个、教育部人文社会科学各类研究项目15个、北京市各类项目28个。学校产出各类科研成果1843项，发表各类论文1589篇；其中高水平论文905篇。获商务部商务发展研究成果奖14项，创历史最高。</w:t>
      </w:r>
    </w:p>
    <w:p>
      <w:pPr>
        <w:widowControl/>
        <w:spacing w:line="375" w:lineRule="atLeast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（×××）</w:t>
      </w:r>
    </w:p>
    <w:p>
      <w:pPr>
        <w:widowControl/>
        <w:ind w:firstLine="480" w:firstLineChars="200"/>
        <w:rPr>
          <w:kern w:val="0"/>
          <w:sz w:val="24"/>
        </w:rPr>
      </w:pPr>
    </w:p>
    <w:p>
      <w:pPr>
        <w:widowControl/>
        <w:ind w:firstLine="480" w:firstLineChars="200"/>
        <w:rPr>
          <w:kern w:val="0"/>
          <w:sz w:val="24"/>
        </w:rPr>
      </w:pPr>
    </w:p>
    <w:p>
      <w:pPr>
        <w:widowControl/>
        <w:spacing w:line="375" w:lineRule="atLeast"/>
        <w:ind w:right="960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eastAsia="zh-Hans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eastAsia="zh-Hans"/>
        </w:rPr>
        <w:t>三、单一性条目样例</w:t>
      </w:r>
    </w:p>
    <w:p>
      <w:pPr>
        <w:spacing w:line="360" w:lineRule="auto"/>
        <w:jc w:val="both"/>
        <w:rPr>
          <w:rFonts w:hint="eastAsia"/>
          <w:b w:val="0"/>
          <w:bCs w:val="0"/>
          <w:sz w:val="24"/>
          <w:szCs w:val="22"/>
        </w:rPr>
      </w:pPr>
      <w:r>
        <w:rPr>
          <w:rFonts w:hint="eastAsia"/>
          <w:b/>
          <w:bCs/>
          <w:sz w:val="24"/>
          <w:szCs w:val="22"/>
        </w:rPr>
        <w:t>【获评“北京市青年突击队”称号】</w:t>
      </w:r>
      <w:r>
        <w:rPr>
          <w:rFonts w:hint="eastAsia"/>
          <w:b w:val="0"/>
          <w:bCs w:val="0"/>
          <w:sz w:val="24"/>
          <w:szCs w:val="22"/>
        </w:rPr>
        <w:t xml:space="preserve"> 11月，共青团北京市委下发《关于命名在服务保障2022年北京冬奥会和冬残奥会工作中北京市青年突击队的决定》，学校2022冬奥会和冬残奥会青年突击队获“北京市青年突击队”称号。2-3月，在北京冬奥会、冬残奥会举办期间，学校组建冬奥运工作专班，选拔师生志愿者260人，在北京、延庆、张家口三地开展13类项目的服务工作，圆满完成冬奥会各项工作任务和冬残奥会服务保障任务。此前，学校获2022北京冬奥会和冬残奥会朝阳区服务保障工作突出贡献奖，邓文雯、金小娜、赵雨涵3名志愿者获“2022年冬奥会冬残奥会北京市先进个人”称号。</w:t>
      </w:r>
    </w:p>
    <w:p>
      <w:pPr>
        <w:widowControl/>
        <w:jc w:val="center"/>
        <w:rPr>
          <w:b/>
          <w:bCs/>
          <w:color w:val="000000"/>
          <w:kern w:val="0"/>
          <w:sz w:val="24"/>
        </w:rPr>
      </w:pPr>
      <w:r>
        <w:rPr>
          <w:b/>
          <w:bCs/>
          <w:color w:val="000000"/>
          <w:kern w:val="0"/>
          <w:sz w:val="24"/>
        </w:rPr>
        <w:drawing>
          <wp:inline distT="0" distB="0" distL="114300" distR="114300">
            <wp:extent cx="3952875" cy="2296160"/>
            <wp:effectExtent l="0" t="0" r="9525" b="8890"/>
            <wp:docPr id="2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75" w:lineRule="atLeast"/>
        <w:jc w:val="center"/>
        <w:rPr>
          <w:rFonts w:hint="eastAsia" w:eastAsia="楷体"/>
          <w:kern w:val="0"/>
          <w:sz w:val="24"/>
          <w:szCs w:val="22"/>
        </w:rPr>
      </w:pPr>
      <w:r>
        <w:rPr>
          <w:rFonts w:eastAsia="楷体"/>
          <w:kern w:val="0"/>
          <w:sz w:val="24"/>
          <w:szCs w:val="22"/>
        </w:rPr>
        <w:t>1</w:t>
      </w:r>
      <w:r>
        <w:rPr>
          <w:rFonts w:hint="eastAsia" w:eastAsia="楷体"/>
          <w:kern w:val="0"/>
          <w:sz w:val="24"/>
          <w:szCs w:val="22"/>
        </w:rPr>
        <w:t>月，学校志愿者服务团队冒雪参加集训，准备迎接北京冬奥会开幕</w:t>
      </w:r>
    </w:p>
    <w:p>
      <w:pPr>
        <w:widowControl/>
        <w:spacing w:line="375" w:lineRule="atLeast"/>
        <w:jc w:val="right"/>
        <w:rPr>
          <w:rFonts w:hint="eastAsia" w:ascii="宋体" w:hAnsi="宋体" w:cs="宋体"/>
          <w:kern w:val="0"/>
          <w:sz w:val="24"/>
        </w:rPr>
      </w:pPr>
    </w:p>
    <w:p>
      <w:pPr>
        <w:widowControl/>
        <w:spacing w:line="375" w:lineRule="atLeast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（×××）</w:t>
      </w:r>
    </w:p>
    <w:p>
      <w:pPr>
        <w:widowControl/>
        <w:tabs>
          <w:tab w:val="left" w:pos="1672"/>
        </w:tabs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</w:p>
    <w:p>
      <w:pPr>
        <w:widowControl/>
        <w:tabs>
          <w:tab w:val="left" w:pos="1672"/>
        </w:tabs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其他学校2</w:t>
      </w:r>
      <w:r>
        <w:rPr>
          <w:rFonts w:ascii="宋体" w:hAnsi="宋体" w:cs="宋体"/>
          <w:b/>
          <w:bCs/>
          <w:kern w:val="0"/>
          <w:sz w:val="24"/>
        </w:rPr>
        <w:t>02</w:t>
      </w:r>
      <w:r>
        <w:rPr>
          <w:rFonts w:hint="eastAsia" w:ascii="宋体" w:hAnsi="宋体" w:cs="宋体"/>
          <w:b/>
          <w:bCs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bCs/>
          <w:kern w:val="0"/>
          <w:sz w:val="24"/>
        </w:rPr>
        <w:t>年大事要闻相关条目请参考以上条目示例撰写。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40717E42"/>
    <w:rsid w:val="40717E42"/>
    <w:rsid w:val="47F34135"/>
    <w:rsid w:val="4B19154C"/>
    <w:rsid w:val="6D6A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2023-03-01T09:09:00Z</dcterms:created>
  <dc:creator>姜</dc:creator>
  <cp:lastModifiedBy>姜</cp:lastModifiedBy>
  <dcterms:modified xsi:type="dcterms:W3CDTF">2024-01-15T07:25:28Z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52256779D93F47AD927AF6D9E550E1EC</vt:lpwstr>
  </property>
</Properties>
</file>